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  <w:r>
        <w:drawing>
          <wp:inline>
            <wp:extent cx="4572398" cy="3429298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572398" cy="342929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2025-11-30T17:52:33Z</dcterms:modified>
</cp:coreProperties>
</file>